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jc w:val="center"/>
        <w:rPr>
          <w:sz w:val="40"/>
          <w:szCs w:val="40"/>
        </w:rPr>
      </w:pPr>
      <w:r>
        <w:rPr>
          <w:rFonts w:hint="eastAsia" w:eastAsia="宋体"/>
          <w:sz w:val="40"/>
          <w:szCs w:val="40"/>
          <w:lang w:eastAsia="zh-CN"/>
        </w:rPr>
        <w:t>烧</w:t>
      </w:r>
      <w:r>
        <w:rPr>
          <w:sz w:val="40"/>
          <w:szCs w:val="40"/>
        </w:rPr>
        <w:t xml:space="preserve">   碱</w:t>
      </w:r>
      <w:r>
        <w:rPr>
          <w:rFonts w:hint="eastAsia" w:eastAsia="宋体"/>
          <w:sz w:val="40"/>
          <w:szCs w:val="40"/>
          <w:lang w:val="en-US" w:eastAsia="zh-CN"/>
        </w:rPr>
        <w:t xml:space="preserve"> MSDS</w:t>
      </w:r>
    </w:p>
    <w:tbl>
      <w:tblPr>
        <w:tblStyle w:val="28"/>
        <w:tblW w:w="7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0" w:type="dxa"/>
          </w:tcPr>
          <w:p>
            <w:pPr>
              <w:jc w:val="left"/>
            </w:pPr>
            <w:r>
              <w:t>1 、物质的理化常数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0" w:type="dxa"/>
          </w:tcPr>
          <w:tbl>
            <w:tblPr>
              <w:tblStyle w:val="28"/>
              <w:tblW w:w="792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80"/>
              <w:gridCol w:w="2737"/>
              <w:gridCol w:w="1725"/>
              <w:gridCol w:w="147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国标编号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82001</w:t>
                  </w:r>
                </w:p>
              </w:tc>
              <w:tc>
                <w:tcPr>
                  <w:tcW w:w="1725" w:type="dxa"/>
                </w:tcPr>
                <w:p>
                  <w:pPr>
                    <w:jc w:val="left"/>
                  </w:pPr>
                  <w:r>
                    <w:t>　ＣＡＳ :</w:t>
                  </w:r>
                </w:p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1310-73-2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 xml:space="preserve">　中文名称 : 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氢氧化钠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英文名称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Sodiun hydroxide ； Caustic soda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别   名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苛性钠；烧碱；火碱；固碱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 xml:space="preserve">　分子式 : 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NaOH</w:t>
                  </w:r>
                </w:p>
              </w:tc>
              <w:tc>
                <w:tcPr>
                  <w:tcW w:w="1725" w:type="dxa"/>
                </w:tcPr>
                <w:p>
                  <w:pPr>
                    <w:jc w:val="left"/>
                  </w:pPr>
                  <w:r>
                    <w:t>　分子量 :</w:t>
                  </w:r>
                </w:p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40.01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 xml:space="preserve">　熔   点 : 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318.4 ℃   沸点： 1390 ℃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 xml:space="preserve">　密   度 : 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相对密度 ( 水 =1)2.12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 xml:space="preserve">　蒸汽压 : 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739 ℃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溶解性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易溶于水、乙醇、甘油，不溶于丙酮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稳定性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稳定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 xml:space="preserve">　外观与性状 : 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白色不透明固体，易潮解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危险标记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20( 碱性腐蚀品 )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0" w:type="dxa"/>
                </w:tcPr>
                <w:p>
                  <w:pPr>
                    <w:jc w:val="left"/>
                  </w:pPr>
                  <w:r>
                    <w:t>　用   途 :</w:t>
                  </w:r>
                </w:p>
              </w:tc>
              <w:tc>
                <w:tcPr>
                  <w:tcW w:w="2737" w:type="dxa"/>
                </w:tcPr>
                <w:p>
                  <w:pPr>
                    <w:jc w:val="left"/>
                  </w:pPr>
                  <w:r>
                    <w:t>用于肥皂工业、石油精炼、造纸、人造丝、染色、制革、医药、有机合成等</w:t>
                  </w:r>
                </w:p>
              </w:tc>
              <w:tc>
                <w:tcPr>
                  <w:tcW w:w="1725" w:type="dxa"/>
                </w:tcPr>
                <w:p/>
              </w:tc>
              <w:tc>
                <w:tcPr>
                  <w:tcW w:w="1478" w:type="dxa"/>
                </w:tcPr>
                <w:p>
                  <w:pPr>
                    <w:jc w:val="left"/>
                  </w:pPr>
                  <w:r>
                    <w:t>　</w:t>
                  </w:r>
                </w:p>
              </w:tc>
            </w:tr>
          </w:tbl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0" w:type="dxa"/>
          </w:tcPr>
          <w:p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0" w:type="dxa"/>
          </w:tcPr>
          <w:p>
            <w:pPr>
              <w:jc w:val="left"/>
            </w:pPr>
            <w:r>
              <w:t xml:space="preserve">2. 对环境的影响 : </w:t>
            </w:r>
            <w:r>
              <w:br w:type="textWrapping"/>
            </w:r>
            <w:r>
              <w:t xml:space="preserve">一、健康危害  </w:t>
            </w:r>
            <w:r>
              <w:br w:type="textWrapping"/>
            </w:r>
            <w:r>
              <w:br w:type="textWrapping"/>
            </w:r>
            <w:r>
              <w:t xml:space="preserve">侵入途径：吸入、食入。  </w:t>
            </w:r>
            <w:r>
              <w:br w:type="textWrapping"/>
            </w:r>
            <w:r>
              <w:t xml:space="preserve">健康危害：本品有强烈刺激和腐蚀性。粉尘或烟雾刺激眼和呼吸道，腐蚀鼻中隔；皮肤和眼直接接触可引起灼伤；误服可造成消化道灼伤，粘膜糜烂、出血和休克。  </w:t>
            </w:r>
            <w:r>
              <w:br w:type="textWrapping"/>
            </w:r>
            <w:r>
              <w:br w:type="textWrapping"/>
            </w:r>
            <w:r>
              <w:t xml:space="preserve">二、毒理学资料及环境行为  </w:t>
            </w:r>
            <w:r>
              <w:br w:type="textWrapping"/>
            </w:r>
            <w:r>
              <w:br w:type="textWrapping"/>
            </w:r>
            <w:r>
              <w:t xml:space="preserve">危险特性：本品不会燃烧，遇水和水蒸气大量放热，形成腐蚀性溶液。与酸发生中和反应并放热。具有强腐蚀性。  </w:t>
            </w:r>
            <w:r>
              <w:br w:type="textWrapping"/>
            </w:r>
            <w:r>
              <w:t xml:space="preserve">燃烧 ( 分解 ) 产物：可能产生有害的毒性烟雾。  </w:t>
            </w:r>
            <w:r>
              <w:br w:type="textWrapping"/>
            </w:r>
            <w:r>
              <w:br w:type="textWrapping"/>
            </w:r>
            <w:r>
              <w:t xml:space="preserve">3. 现场应急监测方法 : </w:t>
            </w:r>
            <w:r>
              <w:br w:type="textWrapping"/>
            </w:r>
            <w:r>
              <w:t xml:space="preserve">4. 实验室监测方法 : </w:t>
            </w:r>
            <w:r>
              <w:br w:type="textWrapping"/>
            </w:r>
            <w:r>
              <w:t xml:space="preserve">酸碱滴定法《空气中有害物质的测定方法》 ( 第二版 ) ，杭士平主编  </w:t>
            </w:r>
            <w:r>
              <w:br w:type="textWrapping"/>
            </w:r>
            <w:r>
              <w:t xml:space="preserve">混合指示剂比色法《空气中有害物质的测定方法》 ( 第二版 ) ，杭士平主编  </w:t>
            </w:r>
            <w:r>
              <w:br w:type="textWrapping"/>
            </w:r>
            <w:r>
              <w:t xml:space="preserve">5. 环境标准 : </w:t>
            </w:r>
            <w:r>
              <w:br w:type="textWrapping"/>
            </w:r>
            <w:r>
              <w:t xml:space="preserve">中国   车间空气中有害物质的最高容许浓度  0.5mg/m3 </w:t>
            </w:r>
            <w:r>
              <w:br w:type="textWrapping"/>
            </w:r>
            <w:r>
              <w:t xml:space="preserve">6. 应急处理处置方法 : </w:t>
            </w:r>
            <w:r>
              <w:br w:type="textWrapping"/>
            </w:r>
            <w:r>
              <w:t xml:space="preserve">一、泄漏应急处理  </w:t>
            </w:r>
            <w:r>
              <w:br w:type="textWrapping"/>
            </w:r>
            <w:r>
              <w:t xml:space="preserve">隔离泄漏污染区，周围设警告标志，建议应急处理人员戴好防毒面具，穿化学防护服。不要直接接触泄漏物，用洁清的铲子收集于干燥净洁有盖的容器中，以少量加入大量水中，调节至中性，再放入废水系统。也可以用大量水冲洗，经稀释的洗水放入废水系统。如大量泄漏，收集回收或无害处理后废弃。  </w:t>
            </w:r>
            <w:r>
              <w:br w:type="textWrapping"/>
            </w:r>
            <w:r>
              <w:t xml:space="preserve">二、防护措施  </w:t>
            </w:r>
            <w:r>
              <w:br w:type="textWrapping"/>
            </w:r>
            <w:r>
              <w:t xml:space="preserve">呼吸系统防护：必要时佩带防毒口罩。  </w:t>
            </w:r>
            <w:r>
              <w:br w:type="textWrapping"/>
            </w:r>
            <w:r>
              <w:t xml:space="preserve">眼睛防护：戴化学安全防护眼镜。  </w:t>
            </w:r>
            <w:r>
              <w:br w:type="textWrapping"/>
            </w:r>
            <w:r>
              <w:t xml:space="preserve">防护服：穿工作服 ( 防腐材料制作 ) 。  </w:t>
            </w:r>
            <w:r>
              <w:br w:type="textWrapping"/>
            </w:r>
            <w:r>
              <w:t xml:space="preserve">手防护：戴橡皮手套。  </w:t>
            </w:r>
            <w:r>
              <w:br w:type="textWrapping"/>
            </w:r>
            <w:r>
              <w:t xml:space="preserve">其它：工作后，淋浴更衣。注意个人清洁卫生。  </w:t>
            </w:r>
            <w:r>
              <w:br w:type="textWrapping"/>
            </w:r>
            <w:r>
              <w:t xml:space="preserve">三、急救措施  </w:t>
            </w:r>
            <w:r>
              <w:br w:type="textWrapping"/>
            </w:r>
            <w:r>
              <w:t xml:space="preserve">皮肤接触：立即用水冲洗至少 15 分钟。若有灼伤，就医治疗。  </w:t>
            </w:r>
            <w:r>
              <w:br w:type="textWrapping"/>
            </w:r>
            <w:r>
              <w:t xml:space="preserve">眼睛接触：立即提起眼睑，用流动清水或生理盐水冲洗至少 15 分钟。或用 3% 硼酸溶液冲洗。就医。  </w:t>
            </w:r>
            <w:r>
              <w:br w:type="textWrapping"/>
            </w:r>
            <w:r>
              <w:t xml:space="preserve">吸入：迅速脱离现场至空气新鲜处。必要时进行人工呼吸。就医。  </w:t>
            </w:r>
            <w:r>
              <w:br w:type="textWrapping"/>
            </w:r>
            <w:r>
              <w:t xml:space="preserve">食入：患者清醒时立即漱口，口服稀释的醋或柠檬汁，就医。  </w:t>
            </w:r>
            <w:r>
              <w:br w:type="textWrapping"/>
            </w:r>
            <w:r>
              <w:br w:type="textWrapping"/>
            </w:r>
            <w:r>
              <w:t xml:space="preserve">灭火方法：雾状水、砂土。  </w:t>
            </w:r>
          </w:p>
        </w:tc>
      </w:tr>
    </w:tbl>
    <w:p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  <w:rsid w:val="0FA32C9D"/>
    <w:rsid w:val="38386AD2"/>
    <w:rsid w:val="4D2A78A3"/>
    <w:rsid w:val="584F7A02"/>
    <w:rsid w:val="6EDD124F"/>
  </w:rsids>
  <m:mathPr>
    <m:mathFont m:val="Lucida Grande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35B8A" w:themeColor="accent1" w:themeShade="B5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next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firstLine="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F81BD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qFormat/>
    <w:uiPriority w:val="0"/>
    <w:pPr>
      <w:keepNext/>
    </w:pPr>
  </w:style>
  <w:style w:type="paragraph" w:customStyle="1" w:styleId="32">
    <w:name w:val="Image Caption"/>
    <w:basedOn w:val="12"/>
    <w:qFormat/>
    <w:uiPriority w:val="0"/>
  </w:style>
  <w:style w:type="paragraph" w:customStyle="1" w:styleId="33">
    <w:name w:val="Figure"/>
    <w:basedOn w:val="1"/>
    <w:qFormat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paragraph" w:customStyle="1" w:styleId="37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38">
    <w:name w:val="KeywordTok"/>
    <w:basedOn w:val="35"/>
    <w:qFormat/>
    <w:uiPriority w:val="0"/>
    <w:rPr>
      <w:b/>
      <w:color w:val="007020"/>
    </w:rPr>
  </w:style>
  <w:style w:type="character" w:customStyle="1" w:styleId="39">
    <w:name w:val="DataTypeTok"/>
    <w:basedOn w:val="35"/>
    <w:qFormat/>
    <w:uiPriority w:val="0"/>
    <w:rPr>
      <w:color w:val="902000"/>
    </w:rPr>
  </w:style>
  <w:style w:type="character" w:customStyle="1" w:styleId="40">
    <w:name w:val="DecValTok"/>
    <w:basedOn w:val="35"/>
    <w:qFormat/>
    <w:uiPriority w:val="0"/>
    <w:rPr>
      <w:color w:val="40A070"/>
    </w:rPr>
  </w:style>
  <w:style w:type="character" w:customStyle="1" w:styleId="41">
    <w:name w:val="BaseNTok"/>
    <w:basedOn w:val="35"/>
    <w:qFormat/>
    <w:uiPriority w:val="0"/>
    <w:rPr>
      <w:color w:val="40A070"/>
    </w:rPr>
  </w:style>
  <w:style w:type="character" w:customStyle="1" w:styleId="42">
    <w:name w:val="FloatTok"/>
    <w:basedOn w:val="35"/>
    <w:qFormat/>
    <w:uiPriority w:val="0"/>
    <w:rPr>
      <w:color w:val="40A070"/>
    </w:rPr>
  </w:style>
  <w:style w:type="character" w:customStyle="1" w:styleId="43">
    <w:name w:val="ConstantTok"/>
    <w:basedOn w:val="35"/>
    <w:qFormat/>
    <w:uiPriority w:val="0"/>
    <w:rPr>
      <w:color w:val="880000"/>
    </w:rPr>
  </w:style>
  <w:style w:type="character" w:customStyle="1" w:styleId="44">
    <w:name w:val="CharTok"/>
    <w:basedOn w:val="35"/>
    <w:qFormat/>
    <w:uiPriority w:val="0"/>
    <w:rPr>
      <w:color w:val="4070A0"/>
    </w:rPr>
  </w:style>
  <w:style w:type="character" w:customStyle="1" w:styleId="45">
    <w:name w:val="SpecialCharTok"/>
    <w:basedOn w:val="35"/>
    <w:qFormat/>
    <w:uiPriority w:val="0"/>
    <w:rPr>
      <w:color w:val="4070A0"/>
    </w:rPr>
  </w:style>
  <w:style w:type="character" w:customStyle="1" w:styleId="46">
    <w:name w:val="StringTok"/>
    <w:basedOn w:val="35"/>
    <w:uiPriority w:val="0"/>
    <w:rPr>
      <w:color w:val="4070A0"/>
    </w:rPr>
  </w:style>
  <w:style w:type="character" w:customStyle="1" w:styleId="47">
    <w:name w:val="VerbatimStringTok"/>
    <w:basedOn w:val="35"/>
    <w:uiPriority w:val="0"/>
    <w:rPr>
      <w:color w:val="4070A0"/>
    </w:rPr>
  </w:style>
  <w:style w:type="character" w:customStyle="1" w:styleId="48">
    <w:name w:val="SpecialStringTok"/>
    <w:basedOn w:val="35"/>
    <w:uiPriority w:val="0"/>
    <w:rPr>
      <w:color w:val="BB6688"/>
    </w:rPr>
  </w:style>
  <w:style w:type="character" w:customStyle="1" w:styleId="49">
    <w:name w:val="ImportTok"/>
    <w:basedOn w:val="35"/>
    <w:uiPriority w:val="0"/>
  </w:style>
  <w:style w:type="character" w:customStyle="1" w:styleId="50">
    <w:name w:val="CommentTok"/>
    <w:basedOn w:val="35"/>
    <w:uiPriority w:val="0"/>
    <w:rPr>
      <w:i/>
      <w:color w:val="60A0B0"/>
    </w:rPr>
  </w:style>
  <w:style w:type="character" w:customStyle="1" w:styleId="51">
    <w:name w:val="DocumentationTok"/>
    <w:basedOn w:val="35"/>
    <w:uiPriority w:val="0"/>
    <w:rPr>
      <w:i/>
      <w:color w:val="BA2121"/>
    </w:rPr>
  </w:style>
  <w:style w:type="character" w:customStyle="1" w:styleId="52">
    <w:name w:val="AnnotationTok"/>
    <w:basedOn w:val="35"/>
    <w:uiPriority w:val="0"/>
    <w:rPr>
      <w:b/>
      <w:i/>
      <w:color w:val="60A0B0"/>
    </w:rPr>
  </w:style>
  <w:style w:type="character" w:customStyle="1" w:styleId="53">
    <w:name w:val="CommentVarTok"/>
    <w:basedOn w:val="35"/>
    <w:qFormat/>
    <w:uiPriority w:val="0"/>
    <w:rPr>
      <w:b/>
      <w:i/>
      <w:color w:val="60A0B0"/>
    </w:rPr>
  </w:style>
  <w:style w:type="character" w:customStyle="1" w:styleId="54">
    <w:name w:val="OtherTok"/>
    <w:basedOn w:val="35"/>
    <w:uiPriority w:val="0"/>
    <w:rPr>
      <w:color w:val="007020"/>
    </w:rPr>
  </w:style>
  <w:style w:type="character" w:customStyle="1" w:styleId="55">
    <w:name w:val="FunctionTok"/>
    <w:basedOn w:val="35"/>
    <w:uiPriority w:val="0"/>
    <w:rPr>
      <w:color w:val="06287E"/>
    </w:rPr>
  </w:style>
  <w:style w:type="character" w:customStyle="1" w:styleId="56">
    <w:name w:val="VariableTok"/>
    <w:basedOn w:val="35"/>
    <w:qFormat/>
    <w:uiPriority w:val="0"/>
    <w:rPr>
      <w:color w:val="19177C"/>
    </w:rPr>
  </w:style>
  <w:style w:type="character" w:customStyle="1" w:styleId="57">
    <w:name w:val="ControlFlowTok"/>
    <w:basedOn w:val="35"/>
    <w:uiPriority w:val="0"/>
    <w:rPr>
      <w:b/>
      <w:color w:val="007020"/>
    </w:rPr>
  </w:style>
  <w:style w:type="character" w:customStyle="1" w:styleId="58">
    <w:name w:val="OperatorTok"/>
    <w:basedOn w:val="35"/>
    <w:uiPriority w:val="0"/>
    <w:rPr>
      <w:color w:val="666666"/>
    </w:rPr>
  </w:style>
  <w:style w:type="character" w:customStyle="1" w:styleId="59">
    <w:name w:val="BuiltInTok"/>
    <w:basedOn w:val="35"/>
    <w:uiPriority w:val="0"/>
  </w:style>
  <w:style w:type="character" w:customStyle="1" w:styleId="60">
    <w:name w:val="ExtensionTok"/>
    <w:basedOn w:val="35"/>
    <w:qFormat/>
    <w:uiPriority w:val="0"/>
  </w:style>
  <w:style w:type="character" w:customStyle="1" w:styleId="61">
    <w:name w:val="PreprocessorTok"/>
    <w:basedOn w:val="35"/>
    <w:uiPriority w:val="0"/>
    <w:rPr>
      <w:color w:val="BC7A00"/>
    </w:rPr>
  </w:style>
  <w:style w:type="character" w:customStyle="1" w:styleId="62">
    <w:name w:val="AttributeTok"/>
    <w:basedOn w:val="35"/>
    <w:uiPriority w:val="0"/>
    <w:rPr>
      <w:color w:val="7D9029"/>
    </w:rPr>
  </w:style>
  <w:style w:type="character" w:customStyle="1" w:styleId="63">
    <w:name w:val="RegionMarkerTok"/>
    <w:basedOn w:val="35"/>
    <w:uiPriority w:val="0"/>
  </w:style>
  <w:style w:type="character" w:customStyle="1" w:styleId="64">
    <w:name w:val="InformationTok"/>
    <w:basedOn w:val="35"/>
    <w:uiPriority w:val="0"/>
    <w:rPr>
      <w:b/>
      <w:i/>
      <w:color w:val="60A0B0"/>
    </w:rPr>
  </w:style>
  <w:style w:type="character" w:customStyle="1" w:styleId="65">
    <w:name w:val="WarningTok"/>
    <w:basedOn w:val="35"/>
    <w:qFormat/>
    <w:uiPriority w:val="0"/>
    <w:rPr>
      <w:b/>
      <w:i/>
      <w:color w:val="60A0B0"/>
    </w:rPr>
  </w:style>
  <w:style w:type="character" w:customStyle="1" w:styleId="66">
    <w:name w:val="AlertTok"/>
    <w:basedOn w:val="35"/>
    <w:qFormat/>
    <w:uiPriority w:val="0"/>
    <w:rPr>
      <w:b/>
      <w:color w:val="FF0000"/>
    </w:rPr>
  </w:style>
  <w:style w:type="character" w:customStyle="1" w:styleId="67">
    <w:name w:val="ErrorTok"/>
    <w:basedOn w:val="35"/>
    <w:uiPriority w:val="0"/>
    <w:rPr>
      <w:b/>
      <w:color w:val="FF0000"/>
    </w:rPr>
  </w:style>
  <w:style w:type="character" w:customStyle="1" w:styleId="68">
    <w:name w:val="NormalTok"/>
    <w:basedOn w:val="3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2019-08-15T23:47:00Z</dcterms:created>
  <dc:creator>Administrator</dc:creator>
  <cp:lastModifiedBy>会游泳的酸菜鱼</cp:lastModifiedBy>
  <cp:lastPrinted>2022-03-28T01:38:12Z</cp:lastPrinted>
  <dcterms:modified xsi:type="dcterms:W3CDTF">2022-03-28T01:38:15Z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rer">
    <vt:lpwstr>never</vt:lpwstr>
  </property>
  <property fmtid="{D5CDD505-2E9C-101B-9397-08002B2CF9AE}" pid="3" name="KSOProductBuildVer">
    <vt:lpwstr>2052-11.1.0.11369</vt:lpwstr>
  </property>
  <property fmtid="{D5CDD505-2E9C-101B-9397-08002B2CF9AE}" pid="4" name="ICV">
    <vt:lpwstr>65B75F06BF8A48839544BA3558C07030</vt:lpwstr>
  </property>
</Properties>
</file>